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624F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 w14:paraId="3599808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黑体" w:eastAsia="黑体"/>
          <w:sz w:val="48"/>
          <w:szCs w:val="48"/>
          <w:lang w:eastAsia="zh-CN"/>
        </w:rPr>
      </w:pPr>
      <w:r>
        <w:rPr>
          <w:rFonts w:hint="eastAsia" w:ascii="黑体" w:eastAsia="黑体"/>
          <w:sz w:val="48"/>
          <w:szCs w:val="48"/>
          <w:lang w:eastAsia="zh-CN"/>
        </w:rPr>
        <w:t>侨联工作经费</w:t>
      </w:r>
    </w:p>
    <w:p w14:paraId="0A9FFD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 w14:paraId="1AFBAB4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36FC7A6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27111B4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5264BE8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根据《关于加强和改进新形势下侨联工作的意见》要求落实侨联机关建设及侨联活动组织结合实际抓好侨联各项工作。</w:t>
      </w:r>
    </w:p>
    <w:p w14:paraId="1168D2A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2、项目主要内容</w:t>
      </w:r>
    </w:p>
    <w:p w14:paraId="504049ED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主要用于更好的服务全县归侨侨眷，深化为侨服务凝聚人心。</w:t>
      </w:r>
    </w:p>
    <w:p w14:paraId="5EA4193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3、项目组织管理机构</w:t>
      </w:r>
    </w:p>
    <w:p w14:paraId="3AD9977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中国共产党会同县委员会统战部本级。</w:t>
      </w:r>
    </w:p>
    <w:p w14:paraId="7CA7DB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 w14:paraId="5FFC4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6DE8555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27F930D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该项目资金纳入当年部门预算，为财政一般公共预算拨款，由财政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行政执法股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拨付。</w:t>
      </w:r>
    </w:p>
    <w:p w14:paraId="72A8CCE7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0343F2C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资金一次性拨付到</w:t>
      </w:r>
      <w:bookmarkStart w:id="1" w:name="OLE_LINK1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统战部</w:t>
      </w:r>
      <w:bookmarkEnd w:id="1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，资金到位率100%，统战部按各项工作完成的进度支付。 </w:t>
      </w:r>
    </w:p>
    <w:p w14:paraId="4B428532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16D81AAE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2023年财政拨付侨联工作经费4.2万元，实际完成4.2万元，资金到位及时率100%，主要组织侨联委员参加活动，开展联谊活动，慰问困难侨眷。</w:t>
      </w:r>
      <w:bookmarkStart w:id="35" w:name="_GoBack"/>
      <w:bookmarkEnd w:id="35"/>
    </w:p>
    <w:p w14:paraId="2FC29A2B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6D09FEB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我单位认真履行部门“三定”方案确定的职责。在资金的使用管理过程中，建立健全了资金使用管理制度和财务管理制度，并得到有效执行，资金拨付及时到位，使用规范，基础数据信息和会计信息资料真实、完整、准确，无截留、挤占、挪用、虚列支出等情况，各项支出严格遵守财务管理制度，实行专款专用，核算明晰，并按规定内容在政府门户网站公开预、决算信息。对有关财务方面文件及时掌握，全年无政府债务发生，严格资产管理配置标准，严格按照资产处理程序办理资产处置业务，全面加强单位内控制度建设。依法接受人大、纪检、审计及财政监督，严格遵守各项财经纪律。</w:t>
      </w:r>
    </w:p>
    <w:p w14:paraId="10D1C1C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 w14:paraId="29E4BB3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项目管理规范，实施程序到位。由县委统战部提出预算，县财政局进行审核，县财政局审核拨款。</w:t>
      </w:r>
    </w:p>
    <w:p w14:paraId="60E793F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72BACD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578B9E6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贯彻执行《中华全国归国华侨联合会章程》。组织侨联委员参加活动，开展联谊活动，慰问困难侨眷，开展好侨联各项工作。</w:t>
      </w:r>
    </w:p>
    <w:p w14:paraId="27FD635B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绩效指标</w:t>
      </w:r>
    </w:p>
    <w:p w14:paraId="6739369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（1）数量指标：工作经费发放率100%；</w:t>
      </w:r>
    </w:p>
    <w:p w14:paraId="5EAD562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（2）质量指标：项目绩效目标达成率100%；</w:t>
      </w:r>
    </w:p>
    <w:p w14:paraId="063CC83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（3）时效指标：在2023年12月前完成；</w:t>
      </w:r>
    </w:p>
    <w:p w14:paraId="3C52985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（4）成本指标：控制在财政核准预算数；</w:t>
      </w:r>
    </w:p>
    <w:p w14:paraId="7D0244D3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（5）经济效益指标：保障资金使用效率；</w:t>
      </w:r>
    </w:p>
    <w:p w14:paraId="66DA868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（6）社会效益指标：促进工作开展；</w:t>
      </w:r>
    </w:p>
    <w:p w14:paraId="0F021CA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（7）可持续指标：促进社会的和谐稳定；</w:t>
      </w:r>
    </w:p>
    <w:p w14:paraId="58EB233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（8）群众满意度：服务对象满意度达到90%以上。</w:t>
      </w:r>
    </w:p>
    <w:p w14:paraId="6E6EB67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4961D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0D5AA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验证目标指标，总结经验，为改善资金管理、纠正目标与实际的偏差提供依据。</w:t>
      </w:r>
    </w:p>
    <w:p w14:paraId="05941C4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1184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2"/>
    </w:p>
    <w:p w14:paraId="2D9D2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20" w:firstLineChars="1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被评价单位：中国共产党会同县委员会统战部，绩效评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>价范围与时段为2023年1-12月侨联工作经费。</w:t>
      </w:r>
    </w:p>
    <w:p w14:paraId="36288DF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3"/>
    </w:p>
    <w:p w14:paraId="06610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 xml:space="preserve"> 1、相关性原则、重要性原则、系统性原则、经济性原则。</w:t>
      </w:r>
    </w:p>
    <w:p w14:paraId="06544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2、评价指标分为产出指标、效益指标及满意度指标。</w:t>
      </w:r>
    </w:p>
    <w:p w14:paraId="5E907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3、评价方法主要采用成本效益分析法、比较法、因素分析法、最低成本法、公众评判法等。</w:t>
      </w:r>
    </w:p>
    <w:p w14:paraId="76E3B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4" w:name="_Toc32076"/>
      <w:bookmarkStart w:id="5" w:name="_Toc7615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4"/>
      <w:bookmarkEnd w:id="5"/>
    </w:p>
    <w:p w14:paraId="0430D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6" w:name="OLE_LINK3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 w14:paraId="2DCCF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有效的促进了工作开展。</w:t>
      </w:r>
    </w:p>
    <w:p w14:paraId="23023872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经济效益</w:t>
      </w:r>
    </w:p>
    <w:p w14:paraId="054E9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有效的保障资金使用效率。</w:t>
      </w:r>
    </w:p>
    <w:p w14:paraId="4B07496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</w:t>
      </w:r>
    </w:p>
    <w:p w14:paraId="115E6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促进社会的和谐稳定。</w:t>
      </w:r>
    </w:p>
    <w:p w14:paraId="0BDD8A31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58DE6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服务对象满意度达到9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%。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</w:p>
    <w:bookmarkEnd w:id="6"/>
    <w:p w14:paraId="1250066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7279EC6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2023年该项目立项符合国家法律法规；项目资金管理制度健全，资金监管措施落实到位；各项工作具体扎实，项目任务全面完成，项目实施效果显著。本次自评各项目得分98分，自评等级为“优”。</w:t>
      </w:r>
      <w:bookmarkStart w:id="7" w:name="_Toc27541"/>
      <w:bookmarkStart w:id="8" w:name="_Toc16332"/>
    </w:p>
    <w:p w14:paraId="1080A2F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320" w:lineRule="exact"/>
        <w:ind w:firstLine="320" w:firstLineChars="1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7"/>
      <w:bookmarkEnd w:id="8"/>
    </w:p>
    <w:p w14:paraId="41824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</w:t>
      </w:r>
      <w:bookmarkEnd w:id="9"/>
      <w:bookmarkStart w:id="10" w:name="_Toc28411"/>
    </w:p>
    <w:p w14:paraId="4849C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 1.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项目决策依据充分性。项目决策符合国家相关法律法规、国民经济发展规划和相关政策；符合行业发展规划和政策要求；与部门职责范围相符，属于部门履职所需。</w:t>
      </w:r>
    </w:p>
    <w:p w14:paraId="60D83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>2.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项目决策程序规范性。预算支出按照规定的程序申请</w:t>
      </w: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设立；审批文件、材料符合相关要求；事前经过集体决策程序。</w:t>
      </w:r>
    </w:p>
    <w:p w14:paraId="7D04F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10"/>
    </w:p>
    <w:p w14:paraId="34203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1014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11"/>
    </w:p>
    <w:p w14:paraId="356AF57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由单位财务按照年初预算批复，根据工作需要支出需求向财政申请经费，合理安排和使用资金。</w:t>
      </w:r>
    </w:p>
    <w:p w14:paraId="2A916E1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textAlignment w:val="auto"/>
        <w:outlineLvl w:val="2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bookmarkStart w:id="12" w:name="_Toc12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项目实施</w:t>
      </w:r>
      <w:bookmarkEnd w:id="12"/>
    </w:p>
    <w:p w14:paraId="2F220C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420" w:firstLineChars="200"/>
        <w:textAlignment w:val="auto"/>
        <w:outlineLvl w:val="2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资金使用过程清晰明了，做到分工明确、权责分明、相互制约，严格按照规定使用，严格控制支出，提高资金使用效益。</w:t>
      </w:r>
    </w:p>
    <w:p w14:paraId="026DE7E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3" w:name="_Toc660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3"/>
    </w:p>
    <w:p w14:paraId="03FEA5B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4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4"/>
    </w:p>
    <w:p w14:paraId="7EF250B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工作经费发放率</w:t>
      </w:r>
      <w:bookmarkStart w:id="15" w:name="OLE_LINK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100%。</w:t>
      </w:r>
      <w:bookmarkEnd w:id="15"/>
    </w:p>
    <w:p w14:paraId="116CD46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2、产出质量</w:t>
      </w:r>
      <w:bookmarkEnd w:id="16"/>
    </w:p>
    <w:p w14:paraId="6472171A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项目绩效目标达成率100%。</w:t>
      </w:r>
    </w:p>
    <w:p w14:paraId="2FDCDA6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7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3、产出成本</w:t>
      </w:r>
      <w:bookmarkEnd w:id="17"/>
    </w:p>
    <w:p w14:paraId="0AA3008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资金按预算成本完成，无资金浪费，无超支预算。</w:t>
      </w:r>
    </w:p>
    <w:p w14:paraId="0D870E39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8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4、产出时效</w:t>
      </w:r>
      <w:bookmarkEnd w:id="18"/>
    </w:p>
    <w:p w14:paraId="5575D93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2023年12月之前各项资金按时发放到位。 </w:t>
      </w:r>
    </w:p>
    <w:p w14:paraId="19815C6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9" w:name="_Toc12690"/>
      <w:bookmarkStart w:id="20" w:name="_Toc307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（四）项目效益情况</w:t>
      </w:r>
      <w:bookmarkEnd w:id="19"/>
      <w:bookmarkEnd w:id="20"/>
    </w:p>
    <w:p w14:paraId="4AC03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1、社会效益</w:t>
      </w:r>
    </w:p>
    <w:p w14:paraId="663EA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有效的促进了工作开展。</w:t>
      </w:r>
    </w:p>
    <w:p w14:paraId="5F35BD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2、经济效益</w:t>
      </w:r>
    </w:p>
    <w:p w14:paraId="2AF32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有效的保障资金使用效率。</w:t>
      </w:r>
    </w:p>
    <w:p w14:paraId="18587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3、可持续影响</w:t>
      </w:r>
    </w:p>
    <w:p w14:paraId="72BA8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bookmarkStart w:id="21" w:name="OLE_LINK6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促进社会的和谐稳定。</w:t>
      </w:r>
    </w:p>
    <w:bookmarkEnd w:id="21"/>
    <w:p w14:paraId="26A10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390267055"/>
      <w:bookmarkStart w:id="23" w:name="_Toc390096931"/>
      <w:bookmarkStart w:id="24" w:name="_Toc24241"/>
      <w:bookmarkStart w:id="25" w:name="_Toc12414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22"/>
      <w:bookmarkEnd w:id="23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4"/>
      <w:bookmarkEnd w:id="25"/>
    </w:p>
    <w:p w14:paraId="549DE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6" w:name="_Toc23434"/>
      <w:bookmarkStart w:id="27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7"/>
    </w:p>
    <w:p w14:paraId="6F682EE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目实施单位的实施人员应加强政策和业务知识的学习培训，规范使用，提高专项资金使用效率和效益。项目实施单位应根据实际需求，针对每一个项目制定工作目标，科学编制和细化预算，做到预算有目标，执行有细则，控制专项支出，分析资金结余或超支的原因，提高资金的使用效益。</w:t>
      </w:r>
    </w:p>
    <w:p w14:paraId="62CE8627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8" w:name="_Toc2597"/>
      <w:bookmarkStart w:id="29" w:name="_Toc677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8"/>
      <w:bookmarkEnd w:id="29"/>
    </w:p>
    <w:p w14:paraId="2E9CA8BF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绩效考评办法不够完善，不够具体，可操作性不强，需进一步加强。内控管理制度不够完善，不够系统，需进一步完善和加强。</w:t>
      </w:r>
    </w:p>
    <w:p w14:paraId="58AD40AA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0" w:name="_Toc16271"/>
      <w:bookmarkStart w:id="31" w:name="_Toc29278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30"/>
      <w:bookmarkEnd w:id="31"/>
    </w:p>
    <w:p w14:paraId="5BA3AE5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65" w:afterAutospacing="0" w:line="520" w:lineRule="exact"/>
        <w:ind w:firstLine="645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建立激励与约束机制，强化评价结果在项目申报和预算编制中的有效应用。对绩效评价结果较好的，予以表扬、优先支持或继续支持。对绩效评价发现问题、达不到绩效目标或评价结果较差的，予以通报批评，根据情况调整项目或相应调减项目预算，直至取消该项支出。</w:t>
      </w:r>
    </w:p>
    <w:p w14:paraId="602BD0D8">
      <w:pPr>
        <w:pStyle w:val="2"/>
        <w:numPr>
          <w:ilvl w:val="0"/>
          <w:numId w:val="0"/>
        </w:numPr>
        <w:ind w:leftChars="200"/>
        <w:rPr>
          <w:rFonts w:hint="eastAsia"/>
        </w:rPr>
      </w:pPr>
    </w:p>
    <w:p w14:paraId="118FF2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附件：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项目支出绩效自评表</w:t>
      </w:r>
    </w:p>
    <w:p w14:paraId="4ABD958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7611F2D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CF3541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05FF3F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790F12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F952C9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27BABED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060D087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7C6A53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0AE708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86DC0A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68B3EB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F2DA3E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73BAACE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00A8119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AB6435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F7FC0F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7CBC257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404773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2536682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0F93D4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7CFFA42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48C0A9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44A7C8B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1BE4E0BB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6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26D71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4DFB77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47D8B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47A10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32" w:name="OLE_LINK7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侨联工作经费</w:t>
            </w:r>
            <w:bookmarkEnd w:id="32"/>
          </w:p>
        </w:tc>
      </w:tr>
      <w:tr w14:paraId="11CD2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6DC09F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0E221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C3F35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33395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中国共产党会同县委员会统战部</w:t>
            </w:r>
          </w:p>
        </w:tc>
      </w:tr>
      <w:tr w14:paraId="32304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7C4D5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0674A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0046B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31F0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31926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133969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2C28B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1C2C22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695C9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579D4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599E71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26C95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8F2FF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81653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68D26E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4.2</w:t>
            </w:r>
          </w:p>
        </w:tc>
        <w:tc>
          <w:tcPr>
            <w:tcW w:w="1209" w:type="dxa"/>
            <w:noWrap w:val="0"/>
            <w:vAlign w:val="center"/>
          </w:tcPr>
          <w:p w14:paraId="755B4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4.2</w:t>
            </w:r>
          </w:p>
        </w:tc>
        <w:tc>
          <w:tcPr>
            <w:tcW w:w="1134" w:type="dxa"/>
            <w:noWrap w:val="0"/>
            <w:vAlign w:val="center"/>
          </w:tcPr>
          <w:p w14:paraId="1633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4.2</w:t>
            </w:r>
          </w:p>
        </w:tc>
        <w:tc>
          <w:tcPr>
            <w:tcW w:w="828" w:type="dxa"/>
            <w:noWrap w:val="0"/>
            <w:vAlign w:val="center"/>
          </w:tcPr>
          <w:p w14:paraId="546AD3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30F42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1B395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6F9B7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CADB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E68E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7237D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4.2</w:t>
            </w:r>
          </w:p>
        </w:tc>
        <w:tc>
          <w:tcPr>
            <w:tcW w:w="1209" w:type="dxa"/>
            <w:noWrap w:val="0"/>
            <w:vAlign w:val="center"/>
          </w:tcPr>
          <w:p w14:paraId="6EB99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4.2</w:t>
            </w:r>
          </w:p>
        </w:tc>
        <w:tc>
          <w:tcPr>
            <w:tcW w:w="1134" w:type="dxa"/>
            <w:noWrap w:val="0"/>
            <w:vAlign w:val="center"/>
          </w:tcPr>
          <w:p w14:paraId="5FC387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4.2</w:t>
            </w:r>
          </w:p>
        </w:tc>
        <w:tc>
          <w:tcPr>
            <w:tcW w:w="828" w:type="dxa"/>
            <w:noWrap w:val="0"/>
            <w:vAlign w:val="center"/>
          </w:tcPr>
          <w:p w14:paraId="5666B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B9F2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3CECF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F40B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A209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9B3B6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72D248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1918A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5E0D7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F7732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51B16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707A7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8999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D04A0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8EB3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05FB2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7A6D56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5D9BCE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6ED84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0E3744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072B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C2AD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6DA6F8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4789E3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7E6894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2922E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E2F4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6BA567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贯彻执行《中华全国归国华侨联合会章程》。组织侨联委员参加活动，开展联谊活动，慰问困难侨眷，开展好侨联工作。　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3F0619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贯彻执行《中华全国归国华侨联合会章程》。组织侨联委员参加活动，开展联谊活动，慰问困难侨眷，开展好侨联各项工作。 </w:t>
            </w:r>
          </w:p>
        </w:tc>
      </w:tr>
      <w:tr w14:paraId="2E86D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15D82B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6AAA9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1E6D58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7348F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2042A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3D705B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161AD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05BCB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01A3D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2EEF8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09970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3016C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769348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56FF20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2BA6DC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74C962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0EDBC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10265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6BAB4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71C308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68D2E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33437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工作经费发放率</w:t>
            </w:r>
          </w:p>
        </w:tc>
        <w:tc>
          <w:tcPr>
            <w:tcW w:w="1209" w:type="dxa"/>
            <w:noWrap w:val="0"/>
            <w:vAlign w:val="center"/>
          </w:tcPr>
          <w:p w14:paraId="26D0C7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bookmarkStart w:id="33" w:name="OLE_LINK4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  <w:bookmarkEnd w:id="33"/>
          </w:p>
        </w:tc>
        <w:tc>
          <w:tcPr>
            <w:tcW w:w="1134" w:type="dxa"/>
            <w:noWrap w:val="0"/>
            <w:vAlign w:val="center"/>
          </w:tcPr>
          <w:p w14:paraId="76CD67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828" w:type="dxa"/>
            <w:noWrap w:val="0"/>
            <w:vAlign w:val="center"/>
          </w:tcPr>
          <w:p w14:paraId="18E29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F94D2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4FA2E7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5DFC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B6D3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4B446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34D5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58221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项目绩效目标达成率</w:t>
            </w:r>
          </w:p>
        </w:tc>
        <w:tc>
          <w:tcPr>
            <w:tcW w:w="1209" w:type="dxa"/>
            <w:noWrap w:val="0"/>
            <w:vAlign w:val="center"/>
          </w:tcPr>
          <w:p w14:paraId="189C8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134" w:type="dxa"/>
            <w:noWrap w:val="0"/>
            <w:vAlign w:val="center"/>
          </w:tcPr>
          <w:p w14:paraId="2A2F6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828" w:type="dxa"/>
            <w:noWrap w:val="0"/>
            <w:vAlign w:val="center"/>
          </w:tcPr>
          <w:p w14:paraId="1CB55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D66CE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2AE5AF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CE30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2594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740B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6AEF2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7E4E3F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完成及时性</w:t>
            </w:r>
          </w:p>
        </w:tc>
        <w:tc>
          <w:tcPr>
            <w:tcW w:w="1209" w:type="dxa"/>
            <w:noWrap w:val="0"/>
            <w:vAlign w:val="center"/>
          </w:tcPr>
          <w:p w14:paraId="197DE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2023年12月之前完成</w:t>
            </w:r>
          </w:p>
        </w:tc>
        <w:tc>
          <w:tcPr>
            <w:tcW w:w="1134" w:type="dxa"/>
            <w:noWrap w:val="0"/>
            <w:vAlign w:val="center"/>
          </w:tcPr>
          <w:p w14:paraId="6314A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完成</w:t>
            </w:r>
          </w:p>
        </w:tc>
        <w:tc>
          <w:tcPr>
            <w:tcW w:w="828" w:type="dxa"/>
            <w:noWrap w:val="0"/>
            <w:vAlign w:val="center"/>
          </w:tcPr>
          <w:p w14:paraId="59683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3DF394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 w14:paraId="680FD9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5A44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1A45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DD83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FB55B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5F7F1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侨联工作经费</w:t>
            </w:r>
          </w:p>
        </w:tc>
        <w:tc>
          <w:tcPr>
            <w:tcW w:w="1209" w:type="dxa"/>
            <w:noWrap w:val="0"/>
            <w:vAlign w:val="center"/>
          </w:tcPr>
          <w:p w14:paraId="76D31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1134" w:type="dxa"/>
            <w:noWrap w:val="0"/>
            <w:vAlign w:val="center"/>
          </w:tcPr>
          <w:p w14:paraId="5C141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无超支</w:t>
            </w:r>
          </w:p>
          <w:p w14:paraId="1426A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问题</w:t>
            </w:r>
          </w:p>
        </w:tc>
        <w:tc>
          <w:tcPr>
            <w:tcW w:w="828" w:type="dxa"/>
            <w:noWrap w:val="0"/>
            <w:vAlign w:val="center"/>
          </w:tcPr>
          <w:p w14:paraId="560D5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51DC4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 w14:paraId="23A87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8500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04F9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34" w:name="OLE_LINK5" w:colFirst="4" w:colLast="5"/>
          </w:p>
        </w:tc>
        <w:tc>
          <w:tcPr>
            <w:tcW w:w="1080" w:type="dxa"/>
            <w:vMerge w:val="restart"/>
            <w:noWrap w:val="0"/>
            <w:vAlign w:val="center"/>
          </w:tcPr>
          <w:p w14:paraId="1F3E56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253B4A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43FFC8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081DA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3671F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经济效益情况</w:t>
            </w:r>
          </w:p>
        </w:tc>
        <w:tc>
          <w:tcPr>
            <w:tcW w:w="1209" w:type="dxa"/>
            <w:noWrap w:val="0"/>
            <w:vAlign w:val="center"/>
          </w:tcPr>
          <w:p w14:paraId="10C36F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1866C7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15E0B8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B936B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613BAA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bookmarkEnd w:id="34"/>
      <w:tr w14:paraId="69FBD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C0E0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E6706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6010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67B4B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7B32B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促进工作开展</w:t>
            </w:r>
          </w:p>
        </w:tc>
        <w:tc>
          <w:tcPr>
            <w:tcW w:w="1209" w:type="dxa"/>
            <w:shd w:val="clear" w:color="auto" w:fill="auto"/>
            <w:noWrap w:val="0"/>
            <w:vAlign w:val="center"/>
          </w:tcPr>
          <w:p w14:paraId="592789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217CC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0E9F1B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5503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1418CE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AD7C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AE2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D1A63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D8E7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43C87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68AB5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不适用</w:t>
            </w:r>
          </w:p>
        </w:tc>
        <w:tc>
          <w:tcPr>
            <w:tcW w:w="1209" w:type="dxa"/>
            <w:noWrap w:val="0"/>
            <w:vAlign w:val="center"/>
          </w:tcPr>
          <w:p w14:paraId="418B6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29B24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16C63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5FC51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0DC6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29D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5009D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BA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7759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026BA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促进社会的和谐稳定。</w:t>
            </w:r>
          </w:p>
          <w:p w14:paraId="09043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164D4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57503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6C0ED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CE4D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2C507D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AC37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9A02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46F84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4FAE3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6FF0B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7E9E7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43BC5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使用人员满意度</w:t>
            </w:r>
          </w:p>
        </w:tc>
        <w:tc>
          <w:tcPr>
            <w:tcW w:w="1209" w:type="dxa"/>
            <w:noWrap w:val="0"/>
            <w:vAlign w:val="center"/>
          </w:tcPr>
          <w:p w14:paraId="0C36E8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≧90%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4E3B4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19C96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6D6536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0B30F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F957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4950C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3EEE8F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2E745A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418" w:type="dxa"/>
            <w:noWrap w:val="0"/>
            <w:vAlign w:val="center"/>
          </w:tcPr>
          <w:p w14:paraId="6BF8B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122F7526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0718B6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B39459"/>
    <w:multiLevelType w:val="singleLevel"/>
    <w:tmpl w:val="89B39459"/>
    <w:lvl w:ilvl="0" w:tentative="0">
      <w:start w:val="2"/>
      <w:numFmt w:val="chineseCounting"/>
      <w:suff w:val="nothing"/>
      <w:lvlText w:val="（%1）"/>
      <w:lvlJc w:val="left"/>
      <w:pPr>
        <w:ind w:left="-548"/>
      </w:pPr>
      <w:rPr>
        <w:rFonts w:hint="eastAsia"/>
      </w:rPr>
    </w:lvl>
  </w:abstractNum>
  <w:abstractNum w:abstractNumId="1">
    <w:nsid w:val="A409017F"/>
    <w:multiLevelType w:val="singleLevel"/>
    <w:tmpl w:val="A409017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AFDE646"/>
    <w:multiLevelType w:val="singleLevel"/>
    <w:tmpl w:val="FAFDE646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1DE26690"/>
    <w:multiLevelType w:val="singleLevel"/>
    <w:tmpl w:val="1DE2669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F0893EE"/>
    <w:multiLevelType w:val="singleLevel"/>
    <w:tmpl w:val="2F0893E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1N2JhNWMzMzM5ZmEyZGVhZmU1MjIzMmY5ZDE4NmEifQ=="/>
  </w:docVars>
  <w:rsids>
    <w:rsidRoot w:val="00000000"/>
    <w:rsid w:val="000B69F1"/>
    <w:rsid w:val="066C0ED0"/>
    <w:rsid w:val="0EE41E22"/>
    <w:rsid w:val="1A942223"/>
    <w:rsid w:val="1B91129B"/>
    <w:rsid w:val="21D30E87"/>
    <w:rsid w:val="246E29A5"/>
    <w:rsid w:val="25582D92"/>
    <w:rsid w:val="26087161"/>
    <w:rsid w:val="275579B7"/>
    <w:rsid w:val="286368DF"/>
    <w:rsid w:val="2D8243E8"/>
    <w:rsid w:val="32113846"/>
    <w:rsid w:val="3D3C0B26"/>
    <w:rsid w:val="40222FC9"/>
    <w:rsid w:val="48FD7CFE"/>
    <w:rsid w:val="4D3C41D1"/>
    <w:rsid w:val="51F54297"/>
    <w:rsid w:val="534327A1"/>
    <w:rsid w:val="53735697"/>
    <w:rsid w:val="57963B9C"/>
    <w:rsid w:val="658F2719"/>
    <w:rsid w:val="6B74168B"/>
    <w:rsid w:val="6C765309"/>
    <w:rsid w:val="754531FD"/>
    <w:rsid w:val="7A5C3F39"/>
    <w:rsid w:val="7E9362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 w:after="200" w:line="276" w:lineRule="auto"/>
    </w:pPr>
    <w:rPr>
      <w:rFonts w:hint="eastAsia" w:ascii="Arial" w:hAnsi="Arial"/>
      <w:sz w:val="24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2526</Words>
  <Characters>2642</Characters>
  <Lines>0</Lines>
  <Paragraphs>0</Paragraphs>
  <TotalTime>2</TotalTime>
  <ScaleCrop>false</ScaleCrop>
  <LinksUpToDate>false</LinksUpToDate>
  <CharactersWithSpaces>2791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2024-09-30T03:04:00Z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3044276125934283BE916478040BD4B1_12</vt:lpwstr>
  </property>
</Properties>
</file>